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>-</w:t>
      </w:r>
      <w:r w:rsidRPr="00EC0F1F">
        <w:rPr>
          <w:rFonts w:eastAsiaTheme="minorHAnsi"/>
          <w:sz w:val="20"/>
          <w:szCs w:val="20"/>
          <w:lang w:eastAsia="en-US"/>
        </w:rPr>
        <w:t xml:space="preserve"> по капитальному ремонту </w:t>
      </w:r>
      <w:r w:rsidR="009A4916">
        <w:rPr>
          <w:rFonts w:eastAsiaTheme="minorHAnsi"/>
          <w:sz w:val="20"/>
          <w:szCs w:val="20"/>
          <w:lang w:eastAsia="en-US"/>
        </w:rPr>
        <w:t>крыши</w:t>
      </w:r>
      <w:r w:rsidRPr="00EC0F1F">
        <w:rPr>
          <w:rFonts w:eastAsiaTheme="minorHAnsi"/>
          <w:sz w:val="20"/>
          <w:szCs w:val="20"/>
          <w:lang w:eastAsia="en-US"/>
        </w:rPr>
        <w:t xml:space="preserve"> многоквартирного дома, </w:t>
      </w:r>
      <w:r w:rsidRPr="00CE25DC">
        <w:rPr>
          <w:rFonts w:eastAsiaTheme="minorHAnsi"/>
          <w:sz w:val="20"/>
          <w:szCs w:val="20"/>
          <w:lang w:eastAsia="en-US"/>
        </w:rPr>
        <w:t xml:space="preserve">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 xml:space="preserve">Новгородская область, </w:t>
      </w:r>
      <w:r w:rsidR="00A54313">
        <w:rPr>
          <w:rFonts w:eastAsiaTheme="minorHAnsi"/>
          <w:sz w:val="20"/>
          <w:szCs w:val="20"/>
          <w:lang w:eastAsia="en-US"/>
        </w:rPr>
        <w:t xml:space="preserve">с. </w:t>
      </w:r>
      <w:r w:rsidR="00EE0422">
        <w:rPr>
          <w:rFonts w:eastAsiaTheme="minorHAnsi"/>
          <w:sz w:val="20"/>
          <w:szCs w:val="20"/>
          <w:lang w:eastAsia="en-US"/>
        </w:rPr>
        <w:t>Марев</w:t>
      </w:r>
      <w:r w:rsidR="00A54313">
        <w:rPr>
          <w:rFonts w:eastAsiaTheme="minorHAnsi"/>
          <w:sz w:val="20"/>
          <w:szCs w:val="20"/>
          <w:lang w:eastAsia="en-US"/>
        </w:rPr>
        <w:t>о</w:t>
      </w:r>
      <w:r w:rsidRPr="00EC0F1F">
        <w:rPr>
          <w:rFonts w:eastAsiaTheme="minorHAnsi"/>
          <w:sz w:val="20"/>
          <w:szCs w:val="20"/>
          <w:lang w:eastAsia="en-US"/>
        </w:rPr>
        <w:t xml:space="preserve">, ул. </w:t>
      </w:r>
      <w:r w:rsidR="00A54313">
        <w:rPr>
          <w:rFonts w:eastAsiaTheme="minorHAnsi"/>
          <w:sz w:val="20"/>
          <w:szCs w:val="20"/>
          <w:lang w:eastAsia="en-US"/>
        </w:rPr>
        <w:t>Советов</w:t>
      </w:r>
      <w:r w:rsidRPr="00EC0F1F">
        <w:rPr>
          <w:rFonts w:eastAsiaTheme="minorHAnsi"/>
          <w:sz w:val="20"/>
          <w:szCs w:val="20"/>
          <w:lang w:eastAsia="en-US"/>
        </w:rPr>
        <w:t xml:space="preserve">, д. </w:t>
      </w:r>
      <w:r w:rsidR="00A54313">
        <w:rPr>
          <w:rFonts w:eastAsiaTheme="minorHAnsi"/>
          <w:sz w:val="20"/>
          <w:szCs w:val="20"/>
          <w:lang w:eastAsia="en-US"/>
        </w:rPr>
        <w:t>3</w:t>
      </w:r>
      <w:r w:rsidR="009A4916">
        <w:rPr>
          <w:rFonts w:eastAsiaTheme="minorHAnsi"/>
          <w:sz w:val="20"/>
          <w:szCs w:val="20"/>
          <w:lang w:eastAsia="en-US"/>
        </w:rPr>
        <w:t>.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54313">
        <w:rPr>
          <w:rFonts w:ascii="Times New Roman" w:hAnsi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9A4916">
        <w:rPr>
          <w:rFonts w:ascii="Times New Roman" w:hAnsi="Times New Roman" w:cs="Times New Roman"/>
          <w:b/>
          <w:bCs/>
        </w:rPr>
        <w:t>6</w:t>
      </w:r>
      <w:r w:rsidR="00A54313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51A90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0B35-DDB5-4453-9C72-9070989D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2015-12-29T06:43:00Z</cp:lastPrinted>
  <dcterms:created xsi:type="dcterms:W3CDTF">2015-12-29T06:44:00Z</dcterms:created>
  <dcterms:modified xsi:type="dcterms:W3CDTF">2015-12-29T06:48:00Z</dcterms:modified>
</cp:coreProperties>
</file>