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864" w:rsidRPr="00816270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70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  <w:r w:rsidR="002F333B" w:rsidRPr="00816270">
        <w:rPr>
          <w:rFonts w:ascii="Times New Roman" w:hAnsi="Times New Roman" w:cs="Times New Roman"/>
          <w:b/>
          <w:sz w:val="28"/>
          <w:szCs w:val="28"/>
        </w:rPr>
        <w:t xml:space="preserve"> по капитальному ремонту крыши многоквартирного дома</w:t>
      </w:r>
    </w:p>
    <w:p w:rsidR="00A15864" w:rsidRPr="00816270" w:rsidRDefault="00A15864" w:rsidP="00235C30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16270">
        <w:rPr>
          <w:rFonts w:ascii="Times New Roman" w:eastAsia="Calibri" w:hAnsi="Times New Roman" w:cs="Times New Roman"/>
          <w:b/>
          <w:sz w:val="28"/>
          <w:szCs w:val="28"/>
        </w:rPr>
        <w:t>Раздел 1. Общие требования</w:t>
      </w:r>
    </w:p>
    <w:p w:rsidR="00A15864" w:rsidRPr="00816270" w:rsidRDefault="00A15864" w:rsidP="00F631C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270">
        <w:rPr>
          <w:rFonts w:ascii="Times New Roman" w:hAnsi="Times New Roman" w:cs="Times New Roman"/>
          <w:b/>
          <w:sz w:val="28"/>
          <w:szCs w:val="28"/>
        </w:rPr>
        <w:t>Цели и правовое основание для выполнения работ</w:t>
      </w:r>
    </w:p>
    <w:p w:rsidR="00BA2DEF" w:rsidRPr="00816270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270">
        <w:rPr>
          <w:rFonts w:ascii="Times New Roman" w:eastAsia="Calibri" w:hAnsi="Times New Roman" w:cs="Times New Roman"/>
          <w:sz w:val="28"/>
          <w:szCs w:val="28"/>
        </w:rPr>
        <w:t>1.1. Целью данной закупки является выполнение работ по капитальному ремонту</w:t>
      </w:r>
      <w:r w:rsidR="00AB0B32" w:rsidRPr="008162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6270">
        <w:rPr>
          <w:rFonts w:ascii="Times New Roman" w:eastAsia="Calibri" w:hAnsi="Times New Roman" w:cs="Times New Roman"/>
          <w:sz w:val="28"/>
          <w:szCs w:val="28"/>
        </w:rPr>
        <w:t>общего имущества многоквартирных домов</w:t>
      </w:r>
      <w:r w:rsidR="00AB0B32" w:rsidRPr="00816270">
        <w:rPr>
          <w:rFonts w:ascii="Times New Roman" w:eastAsia="Calibri" w:hAnsi="Times New Roman" w:cs="Times New Roman"/>
          <w:sz w:val="28"/>
          <w:szCs w:val="28"/>
        </w:rPr>
        <w:t>, расположенных на территории</w:t>
      </w:r>
      <w:r w:rsidR="000D1DDE" w:rsidRPr="00816270">
        <w:rPr>
          <w:rFonts w:ascii="Times New Roman" w:eastAsia="Calibri" w:hAnsi="Times New Roman" w:cs="Times New Roman"/>
          <w:sz w:val="28"/>
          <w:szCs w:val="28"/>
        </w:rPr>
        <w:t xml:space="preserve"> Новгородской области.</w:t>
      </w:r>
      <w:r w:rsidR="00AD7FDF" w:rsidRPr="008162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5864" w:rsidRPr="00816270" w:rsidRDefault="00A15864" w:rsidP="00F631C9">
      <w:pPr>
        <w:spacing w:line="240" w:lineRule="auto"/>
        <w:ind w:left="283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6270">
        <w:rPr>
          <w:rFonts w:ascii="Times New Roman" w:eastAsia="Calibri" w:hAnsi="Times New Roman" w:cs="Times New Roman"/>
          <w:sz w:val="28"/>
          <w:szCs w:val="28"/>
        </w:rPr>
        <w:t xml:space="preserve">1.2. Основанием для выполнения работ является </w:t>
      </w:r>
      <w:r w:rsidR="000D1DDE" w:rsidRPr="00816270">
        <w:rPr>
          <w:rFonts w:ascii="Times New Roman" w:hAnsi="Times New Roman" w:cs="Times New Roman"/>
          <w:sz w:val="28"/>
          <w:szCs w:val="28"/>
        </w:rPr>
        <w:t xml:space="preserve">региональная программа капитального ремонта общего имущества в многоквартирных домах, расположенных на территории Новгородской области, на 2014-2043 годы, утвержденная постановлением </w:t>
      </w:r>
      <w:r w:rsidR="000D1DDE" w:rsidRPr="00816270">
        <w:rPr>
          <w:rFonts w:ascii="Times New Roman" w:hAnsi="Times New Roman" w:cs="Times New Roman"/>
          <w:spacing w:val="-2"/>
          <w:sz w:val="28"/>
          <w:szCs w:val="28"/>
        </w:rPr>
        <w:t>Правительства Новгородской области от 03.02.2014 №</w:t>
      </w:r>
      <w:r w:rsidR="00A67223" w:rsidRPr="00816270">
        <w:rPr>
          <w:rFonts w:ascii="Times New Roman" w:hAnsi="Times New Roman" w:cs="Times New Roman"/>
          <w:spacing w:val="-2"/>
          <w:sz w:val="28"/>
          <w:szCs w:val="28"/>
        </w:rPr>
        <w:t xml:space="preserve"> 46 (далее областная программа).</w:t>
      </w:r>
    </w:p>
    <w:p w:rsidR="00A15864" w:rsidRPr="00816270" w:rsidRDefault="00A15864" w:rsidP="00F631C9">
      <w:pPr>
        <w:spacing w:line="24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6270"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="002F333B" w:rsidRPr="00816270">
        <w:rPr>
          <w:rFonts w:ascii="Times New Roman" w:eastAsia="Calibri" w:hAnsi="Times New Roman" w:cs="Times New Roman"/>
          <w:b/>
          <w:sz w:val="28"/>
          <w:szCs w:val="28"/>
        </w:rPr>
        <w:t>Перечень многоквартирных домов, м</w:t>
      </w:r>
      <w:r w:rsidRPr="00816270">
        <w:rPr>
          <w:rFonts w:ascii="Times New Roman" w:eastAsia="Calibri" w:hAnsi="Times New Roman" w:cs="Times New Roman"/>
          <w:b/>
          <w:sz w:val="28"/>
          <w:szCs w:val="28"/>
        </w:rPr>
        <w:t>есто, условия и сроки (периоды) выполнения работ</w:t>
      </w:r>
      <w:r w:rsidR="002F333B" w:rsidRPr="00816270">
        <w:rPr>
          <w:rFonts w:ascii="Times New Roman" w:eastAsia="Calibri" w:hAnsi="Times New Roman" w:cs="Times New Roman"/>
          <w:b/>
          <w:sz w:val="28"/>
          <w:szCs w:val="28"/>
        </w:rPr>
        <w:t xml:space="preserve"> по капитальному ремонту крыши</w:t>
      </w:r>
    </w:p>
    <w:p w:rsidR="00662A8B" w:rsidRPr="00816270" w:rsidRDefault="00A15864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2.1. Местом выполнения работ в соответствии с </w:t>
      </w:r>
      <w:r w:rsidR="00495230" w:rsidRPr="00816270">
        <w:rPr>
          <w:rFonts w:ascii="Times New Roman" w:hAnsi="Times New Roman" w:cs="Times New Roman"/>
          <w:color w:val="000000"/>
          <w:sz w:val="28"/>
          <w:szCs w:val="28"/>
        </w:rPr>
        <w:t>региональной программой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является: </w:t>
      </w:r>
    </w:p>
    <w:p w:rsidR="00A67223" w:rsidRPr="00816270" w:rsidRDefault="00A67223" w:rsidP="00662A8B">
      <w:pPr>
        <w:pStyle w:val="ConsNonformat"/>
        <w:tabs>
          <w:tab w:val="left" w:pos="6840"/>
          <w:tab w:val="left" w:pos="7020"/>
          <w:tab w:val="left" w:pos="7380"/>
        </w:tabs>
        <w:ind w:right="0"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Лот 114/2016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Большая Московская, д. 54 -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Великий Новгород, ул. Мерецкого-Волосова, д. 1/1 - работы по капитальному ремонту крыши многоквартирного дома.</w:t>
      </w:r>
    </w:p>
    <w:p w:rsidR="00D320D3" w:rsidRPr="00816270" w:rsidRDefault="00D320D3" w:rsidP="00D3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Лот 120/2016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Радищева, д. 6 А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Оплеснина, д. 12 -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Оплеснина, д. 10 -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4: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Новгородская, д. 1 -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5: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Некрасова, д. 22 -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Позиция 6: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ул. Некрасова, д. 11 -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7: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г. Чудово, пер. Базовский, д. 2 - работы по капитальному ремонту крыши многоквартирного дома.</w:t>
      </w:r>
    </w:p>
    <w:p w:rsidR="00D320D3" w:rsidRPr="00816270" w:rsidRDefault="00D320D3" w:rsidP="00D320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Лот 121/2016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1: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Чудовский район, д. Карловка, ул. Центральная, д. 5 -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2: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Чудовский район, п. Грузино, ул. Гречишникова, д. 4 - работы по капитальному ремонту крыши многоквартирного дома.</w:t>
      </w:r>
    </w:p>
    <w:p w:rsidR="00816270" w:rsidRPr="00816270" w:rsidRDefault="00816270" w:rsidP="00816270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Позиция 3: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Новгородская область, Чудовский район, п. Краснофарфорный, ул. Октябрьская, д. 9 - работы по капитальному ремонту крыши многоквартирного дома.</w:t>
      </w:r>
    </w:p>
    <w:p w:rsidR="00D320D3" w:rsidRPr="00816270" w:rsidRDefault="00D320D3" w:rsidP="00662A8B">
      <w:pPr>
        <w:autoSpaceDE w:val="0"/>
        <w:autoSpaceDN w:val="0"/>
        <w:adjustRightInd w:val="0"/>
        <w:spacing w:line="311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721" w:rsidRPr="00816270" w:rsidRDefault="008E7721" w:rsidP="008E772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3. Порядок формирования цены договора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3.1. Цена договора формируется на основе дефектных ведомостей с учетом расходов на перевозку, страхование, уплату таможенных пошлин, налогов и других обязательных платежей.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 xml:space="preserve">3.2. Цена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договора формируется на основании территориальной сметно-нормативной базы </w:t>
      </w:r>
      <w:r w:rsidRPr="00816270">
        <w:rPr>
          <w:rFonts w:ascii="Times New Roman" w:hAnsi="Times New Roman" w:cs="Times New Roman"/>
          <w:sz w:val="28"/>
          <w:szCs w:val="28"/>
        </w:rPr>
        <w:t xml:space="preserve">Новгородской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>области.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При формировании сметной стоимости работ необходимо пользоваться методикой определения стоимости строительной продукции на территории Российской Федерации в соответствии с МДС 81-35.2004 в ценах текущего квартала 2014г. для объектов капитального и текущего ремонта жилых домов в соответствии с информационно-аналитическим сборником «Стройинфо».</w:t>
      </w:r>
    </w:p>
    <w:p w:rsidR="008E7721" w:rsidRPr="00816270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Накладные расходы начисляются в соответствии с Методическими указаниями по определению величины накладных расходов в строительстве МДС 81-33.2004, утвержденные постановлением Госстроя России от 12 января 2004 г. № 6. </w:t>
      </w:r>
    </w:p>
    <w:p w:rsidR="008E7721" w:rsidRPr="00816270" w:rsidRDefault="008E7721" w:rsidP="008E7721">
      <w:pPr>
        <w:snapToGri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Сметная прибыль начисляется в соответствии с Методическими указаниями по определению величины сметной прибыли в строительстве МДС 81-25.2001 утвержденные постановлением Госстроя России с 28.02.2001 № 15 и письма №АП-5536/106 федерального агентства по Строительству и ЖКХ от 18.11.2004</w:t>
      </w:r>
    </w:p>
    <w:p w:rsidR="008E7721" w:rsidRPr="00816270" w:rsidRDefault="008E7721" w:rsidP="008E7721">
      <w:pPr>
        <w:pStyle w:val="Style22"/>
        <w:widowControl/>
        <w:spacing w:line="240" w:lineRule="auto"/>
        <w:jc w:val="both"/>
        <w:rPr>
          <w:rStyle w:val="FontStyle29"/>
          <w:sz w:val="28"/>
          <w:szCs w:val="28"/>
        </w:rPr>
      </w:pPr>
      <w:r w:rsidRPr="00816270">
        <w:rPr>
          <w:rStyle w:val="FontStyle29"/>
          <w:sz w:val="28"/>
          <w:szCs w:val="28"/>
        </w:rPr>
        <w:t>3.3 Начальная (максимальная) цена договора определяется исходя из предельной стоимости работ по капитальному ремонту общего имущества и формируется на основании смет утвержденных Заказчиком.</w:t>
      </w:r>
    </w:p>
    <w:p w:rsidR="008E7721" w:rsidRPr="00816270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  <w:r w:rsidRPr="00816270">
        <w:rPr>
          <w:rStyle w:val="FontStyle29"/>
          <w:sz w:val="28"/>
          <w:szCs w:val="28"/>
        </w:rPr>
        <w:t>3.4 Общая стоимость работ по договору формируется путем умножения цены, определенной сметной документацией Заказчика (Приложение №2) на коэффициент снижения стоимости работ, рассчитанной как отношение предложения подрядчика к начальной (максимальной) стоимости работ,</w:t>
      </w:r>
      <w:r w:rsidRPr="00816270">
        <w:rPr>
          <w:bCs/>
          <w:color w:val="000000"/>
          <w:sz w:val="28"/>
          <w:szCs w:val="28"/>
        </w:rPr>
        <w:t xml:space="preserve"> с учетом формы налогообложения, применяемой участником открытого конкурса.                                                                                                                                                                               3.5 Локально-сметный расчет предоставляется на бумажном носителе и в электронной версии.</w:t>
      </w:r>
    </w:p>
    <w:p w:rsidR="008E7721" w:rsidRPr="00816270" w:rsidRDefault="008E7721" w:rsidP="008E7721">
      <w:pPr>
        <w:pStyle w:val="Style2"/>
        <w:widowControl/>
        <w:spacing w:before="19" w:line="240" w:lineRule="auto"/>
        <w:rPr>
          <w:bCs/>
          <w:color w:val="000000"/>
          <w:sz w:val="28"/>
          <w:szCs w:val="28"/>
        </w:rPr>
      </w:pP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1627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Требования к работам, являющимся предметом открытого конкурса</w:t>
      </w:r>
    </w:p>
    <w:p w:rsidR="008E7721" w:rsidRPr="00816270" w:rsidRDefault="008E7721" w:rsidP="008E7721">
      <w:pPr>
        <w:spacing w:line="240" w:lineRule="auto"/>
        <w:ind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 Требования к количественным характеристикам (объему) </w:t>
      </w: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>Работы, являющиеся предметом открытого конкурса, выполняются в соответствии с дефектными ведомостями работ, являющимися неотъемлемой частью технического задания.</w:t>
      </w:r>
    </w:p>
    <w:p w:rsidR="008E7721" w:rsidRPr="00816270" w:rsidRDefault="008E7721" w:rsidP="008E7721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Требования к качеству и безопасности </w:t>
      </w: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8E7721" w:rsidRPr="00816270" w:rsidRDefault="008E7721" w:rsidP="008E7721">
      <w:pPr>
        <w:pStyle w:val="Style5"/>
        <w:widowControl/>
        <w:spacing w:before="144" w:line="240" w:lineRule="auto"/>
        <w:ind w:right="19" w:firstLine="0"/>
        <w:rPr>
          <w:color w:val="000000"/>
          <w:sz w:val="28"/>
          <w:szCs w:val="28"/>
        </w:rPr>
      </w:pPr>
      <w:r w:rsidRPr="00816270">
        <w:rPr>
          <w:color w:val="000000"/>
          <w:sz w:val="28"/>
          <w:szCs w:val="28"/>
        </w:rPr>
        <w:t xml:space="preserve">          Качество выполняемых работ должно отвечать требованиям действующих нормативных документов: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38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Градостроительный Кодекс от 29.12.2004 № 190-ФЗ;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Федеральный закон Российской Федерации от 30 декабря 2009 г. N 384-ФЗ "Технический регламент о безопасности зданий и сооружений";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Федеральный закон от 22.07.2008 г. № 123-ФЗ «Технический регламент о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требованиях пожарной безопасности»;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Российской Федерации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Федеральный закон «О пожарной безопасности» от 21.12.1994 №69-ФЗ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Федеральный закон «О санитарно-эпидемиологическом благополучии населения» от 30.03.1999 №52-ФЗ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Федеральный законом «О техническом регулировании» от 27.12.2002 №184-ФЗ;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 xml:space="preserve">СНиП 3.04.01-87 «Изоляционные и отделочные покрытия», утверждены Постановлением Госстроя СССР от 4 декабря 1987г. №280                               </w:t>
      </w:r>
      <w:r w:rsidRPr="0081627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6270">
        <w:rPr>
          <w:rFonts w:ascii="Times New Roman" w:hAnsi="Times New Roman" w:cs="Times New Roman"/>
          <w:sz w:val="28"/>
          <w:szCs w:val="28"/>
        </w:rPr>
        <w:t>-СО-002-02495342-2005 «Кровли зданий и сооружений.</w:t>
      </w:r>
      <w:r w:rsidR="008F7671" w:rsidRPr="00816270">
        <w:rPr>
          <w:rFonts w:ascii="Times New Roman" w:hAnsi="Times New Roman" w:cs="Times New Roman"/>
          <w:sz w:val="28"/>
          <w:szCs w:val="28"/>
        </w:rPr>
        <w:t xml:space="preserve"> </w:t>
      </w:r>
      <w:r w:rsidRPr="00816270">
        <w:rPr>
          <w:rFonts w:ascii="Times New Roman" w:hAnsi="Times New Roman" w:cs="Times New Roman"/>
          <w:sz w:val="28"/>
          <w:szCs w:val="28"/>
        </w:rPr>
        <w:t>Проектирование и строительство».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 xml:space="preserve">- СП 17.13330.2011 «Кровли».               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СНиП 31-01-2003 «Здания жилые многоквартирные».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СП 70.13330.2012 «Несущие и ограждающие конструкции.</w:t>
      </w:r>
    </w:p>
    <w:p w:rsidR="008E7721" w:rsidRPr="00816270" w:rsidRDefault="002F333B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СНиП 12-03-2001 «Безопас</w:t>
      </w:r>
      <w:r w:rsidR="008E7721" w:rsidRPr="00816270">
        <w:rPr>
          <w:rFonts w:ascii="Times New Roman" w:hAnsi="Times New Roman" w:cs="Times New Roman"/>
          <w:sz w:val="28"/>
          <w:szCs w:val="28"/>
        </w:rPr>
        <w:t>ность труда в строительстве».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СНиП 41-01-2003 «Отопление, вентиляция и кондиционирование» пункт 6.6 «Печное отопл</w:t>
      </w:r>
      <w:r w:rsidR="002F333B" w:rsidRPr="00816270">
        <w:rPr>
          <w:rFonts w:ascii="Times New Roman" w:hAnsi="Times New Roman" w:cs="Times New Roman"/>
          <w:sz w:val="28"/>
          <w:szCs w:val="28"/>
        </w:rPr>
        <w:t>е</w:t>
      </w:r>
      <w:r w:rsidRPr="00816270">
        <w:rPr>
          <w:rFonts w:ascii="Times New Roman" w:hAnsi="Times New Roman" w:cs="Times New Roman"/>
          <w:sz w:val="28"/>
          <w:szCs w:val="28"/>
        </w:rPr>
        <w:t>ние».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СП 48.13330.2011  «Организация строительства»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постановление Правительства РФ от 21 ноября 2011 года N 957 "Об организации лицензирования отдельных видов деятельности",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  постановление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</w:t>
      </w:r>
    </w:p>
    <w:p w:rsidR="008E7721" w:rsidRPr="00816270" w:rsidRDefault="008E7721" w:rsidP="008E7721">
      <w:pPr>
        <w:spacing w:after="0" w:line="240" w:lineRule="auto"/>
        <w:ind w:left="459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МДС 12-40.2008 «Рекомендации по составлению ППР на монтаж строительных лесов»</w:t>
      </w:r>
    </w:p>
    <w:p w:rsidR="008E7721" w:rsidRPr="00816270" w:rsidRDefault="008E7721" w:rsidP="008E7721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ВСН 42-85(р). «Правила приемки в эксплуатацию законченных капитальным ремонтом жилых зданий»</w:t>
      </w:r>
    </w:p>
    <w:p w:rsidR="008E7721" w:rsidRPr="00816270" w:rsidRDefault="008E7721" w:rsidP="008E7721">
      <w:pPr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 Постановление Правительства РФ от 21.06.2010 N468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СНиП 3.01.04-87 Приемка в эксплуатацию законченных строительных объектов. Основные положения, утверждены Постановлением Госстроя СССР от 21.04.1987 №84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lastRenderedPageBreak/>
        <w:t>СНиП 21-01-97 «Пожарная безопасность зданий и сооружений». ППБ 01-2003 «Правила пожарной безопасности», утверждены Постановлением Минстроя России от 13.02.1997 №18-7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7721" w:rsidRPr="00816270" w:rsidRDefault="008E7721" w:rsidP="008E7721">
      <w:pPr>
        <w:widowControl w:val="0"/>
        <w:numPr>
          <w:ilvl w:val="0"/>
          <w:numId w:val="4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СНиП 3.01.01-85, СНиП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sym w:font="Symbol" w:char="F049"/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>-4-80, государственных стандартов технических условий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ППБ 01-03 «Правила пожарной безопасности Российской Федерации» других нормативных актов действующего законодательства РФ в области строительства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Безопасность работ – это безопасность работ для жизни, здоровья, имущества потребителя и окружающей среды при обычных условиях ее использования, хранения, транспортировки и утилизации, а также безопасность процесса выполнения работы (Закон Российской Федерации от 07.02.1992 N 2300-1 «О защите прав потребителей» (с изменениями и дополнениями, вступивших в силу с 29.09.2011г.) </w:t>
      </w:r>
    </w:p>
    <w:p w:rsidR="008E7721" w:rsidRPr="00816270" w:rsidRDefault="008E7721" w:rsidP="008E7721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В соответствии со статьей 7 </w:t>
      </w: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Закона Российской Федерации «О защите прав потребителей» если на работы законодательством Российской Федерации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работ указанным требованиям подлежит обязательному подтверждению в порядке, предусмотренном законом и иными правовыми актами. </w:t>
      </w:r>
    </w:p>
    <w:p w:rsidR="008E7721" w:rsidRPr="00816270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Работы должны быть выполнены с соблюдением требований экологических, санитарно-гигиенических, противопожарных и других норм, действующих на территории Российской Федерации. Обязательное выполнение необходимых мероприятий по технике безопасности в соответствии со строительными нормами и правилами Российской Федерации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</w:r>
    </w:p>
    <w:p w:rsidR="008E7721" w:rsidRPr="00816270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Подрядчик обязан:</w:t>
      </w:r>
    </w:p>
    <w:p w:rsidR="008E7721" w:rsidRPr="00816270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- обеспечивать выполнение на объекте необходимых противопожарных мероприятий, мероприятий по технике безопасности и охране окружающей среды во время производства работ;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             - содержать рабочую площадку и прилегающие участки свободными от отходов, накапливаемых в результате выполнения работ, и обеспечивает их своевременную уборку в соответствии с действующими требованиями;</w:t>
      </w:r>
    </w:p>
    <w:p w:rsidR="008E7721" w:rsidRPr="00816270" w:rsidRDefault="008E7721" w:rsidP="008E772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- с момента передачи объекта в работу и до передачи объекта в эксплуатацию нести риск случайной гибели или случайного повреждения имущества;</w:t>
      </w:r>
    </w:p>
    <w:p w:rsidR="008E7721" w:rsidRPr="00816270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- обеспечивать надлежащую охрану на объекте материалов, оборудования, строительной техники и другого имущества от начала работ до завершения ремонта и приемки объекта.</w:t>
      </w:r>
    </w:p>
    <w:p w:rsidR="008E7721" w:rsidRPr="00816270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- согласовать время проведения работ на объекте, точки подключения к ресурсам с обслуживающей организацией, ТСЖ или собственниками;</w:t>
      </w:r>
    </w:p>
    <w:p w:rsidR="008E7721" w:rsidRPr="00816270" w:rsidRDefault="008E7721" w:rsidP="008E7721">
      <w:pPr>
        <w:overflowPunct w:val="0"/>
        <w:autoSpaceDE w:val="0"/>
        <w:autoSpaceDN w:val="0"/>
        <w:adjustRightInd w:val="0"/>
        <w:spacing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>- принять по акту перед началом работ помещения в которых будут производиться работы и сдать его после окончания работ обслуживающей организации, ТСЖ или собственникам.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b/>
          <w:color w:val="000000"/>
          <w:sz w:val="28"/>
          <w:szCs w:val="28"/>
        </w:rPr>
        <w:t>3. Требования к техническим характеристикам работ</w:t>
      </w:r>
    </w:p>
    <w:p w:rsidR="008E7721" w:rsidRPr="00816270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Подрядчик должен в работе использовать современные материалы и оборудование в соответствии </w:t>
      </w:r>
      <w:r w:rsidRPr="00816270">
        <w:rPr>
          <w:rFonts w:ascii="Times New Roman" w:hAnsi="Times New Roman" w:cs="Times New Roman"/>
          <w:sz w:val="28"/>
          <w:szCs w:val="28"/>
        </w:rPr>
        <w:t>с ГОСТом.</w:t>
      </w:r>
    </w:p>
    <w:p w:rsidR="008E7721" w:rsidRPr="00816270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Подрядчик должен:</w:t>
      </w:r>
    </w:p>
    <w:p w:rsidR="008E7721" w:rsidRPr="00816270" w:rsidRDefault="008E7721" w:rsidP="008E7721">
      <w:pPr>
        <w:tabs>
          <w:tab w:val="left" w:pos="0"/>
          <w:tab w:val="left" w:pos="540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-предоставить сертификаты качества и паспорта на применяемые материалы и оборудование;</w:t>
      </w:r>
    </w:p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 xml:space="preserve">            - провести комплекс раб</w:t>
      </w:r>
      <w:r w:rsidR="00AE58C0" w:rsidRPr="00816270">
        <w:rPr>
          <w:rFonts w:ascii="Times New Roman" w:hAnsi="Times New Roman" w:cs="Times New Roman"/>
          <w:sz w:val="28"/>
          <w:szCs w:val="28"/>
        </w:rPr>
        <w:t>от согласно дефектной ведомости.</w:t>
      </w:r>
    </w:p>
    <w:tbl>
      <w:tblPr>
        <w:tblW w:w="1003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2540"/>
        <w:gridCol w:w="7140"/>
      </w:tblGrid>
      <w:tr w:rsidR="008E7721" w:rsidRPr="00816270" w:rsidTr="00641A6B"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Наименование, адрес объектов</w:t>
            </w:r>
          </w:p>
        </w:tc>
        <w:tc>
          <w:tcPr>
            <w:tcW w:w="71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Согласно п.2.1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16270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7721" w:rsidRPr="00816270" w:rsidRDefault="008E7721" w:rsidP="00D47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16270" w:rsidTr="00641A6B">
        <w:trPr>
          <w:trHeight w:val="1132"/>
        </w:trPr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Основные требования к архитектурно-планировочному решению здания.</w:t>
            </w:r>
          </w:p>
        </w:tc>
        <w:tc>
          <w:tcPr>
            <w:tcW w:w="71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Неизменность существующих архитектурно-планировочных решений.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721" w:rsidRPr="00816270" w:rsidTr="00641A6B"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Требования по обеспечению жизнедеятельности собственников</w:t>
            </w:r>
          </w:p>
        </w:tc>
        <w:tc>
          <w:tcPr>
            <w:tcW w:w="7140" w:type="dxa"/>
          </w:tcPr>
          <w:p w:rsidR="008E7721" w:rsidRPr="00816270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При проведении СМР по капитальному ремонту без вывода здания из эксплуатации выполнить мероприятия по безопасному проходу и проживанию жильцов согл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12-03-2001.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При производстве работ не создавать условий, мешающих нормальной жизнедеятельности собственников. Заблаговременно оповещать собственников об отключениях. Не захламлять места общего пользования и придомовые территории. Не создавать шум до 7.00 и после 22.00, а в выходные до 10.00 и после 20.00.</w:t>
            </w:r>
          </w:p>
        </w:tc>
      </w:tr>
      <w:tr w:rsidR="008E7721" w:rsidRPr="00816270" w:rsidTr="00641A6B"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Требования к благоустройству площадки и малым архитектурным формам, сохранности конструктивных элементов здания</w:t>
            </w:r>
          </w:p>
        </w:tc>
        <w:tc>
          <w:tcPr>
            <w:tcW w:w="71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Не нарушать существующее благоустройство придомовых территорий. Обеспечить сохранность отмостки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асфальтового покрытия вокруг здания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На период проведения СМР по капитальному ремонту </w:t>
            </w:r>
            <w:r w:rsidRPr="00816270">
              <w:rPr>
                <w:rFonts w:ascii="Times New Roman" w:hAnsi="Times New Roman" w:cs="Times New Roman"/>
                <w:b/>
                <w:sz w:val="28"/>
                <w:szCs w:val="28"/>
              </w:rPr>
              <w:t>кровли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здания обеспечить сохранность фасадов, элементов заполнения оконных и дверных проёмов, лоджий, балконов, крылец и козырьков входов в здание в первоначальном виде.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Восстановление повреждённых конструктивных элементов здания и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благоустройства прилегающей территории обеспечивается Подрядчиком за свой счет.</w:t>
            </w:r>
          </w:p>
        </w:tc>
      </w:tr>
      <w:tr w:rsidR="008E7721" w:rsidRPr="00816270" w:rsidTr="00641A6B"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Мероприятия по гражданской обороне и предупреждению чрезвычайных ситуаций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-Рабочий состав подрядной организации должен быть обучен, проинструктирован, и иметь соответствующий допуск к работам. Работы необходимо выполнять с соблюдением Правил по охране труда и техники безопасности в строительстве согл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>асно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СНиП 12-03-2001, СНиП 12-04-2002 ч.2</w:t>
            </w:r>
          </w:p>
          <w:p w:rsidR="008E7721" w:rsidRPr="00816270" w:rsidRDefault="008E7721" w:rsidP="002F333B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 Работы выполнять в соответствии с ППБ 05-86 «Правила пожарной безопасности   при проведении строительно-монтажных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работ»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-МЧС России в соответствии с постановлением Правительства РФ от 21 ноября 2011 года N 957 "Об организации лицензирования отдельных видов деятельности", постановлением Правительства РФ от 30 декабря 2011 года N 1225 "О лицензировании деятельности по монтажу, техническому обслуживанию и ремонту средств обеспечения пожарной безопасности зданий и сооружений" осуществляет лицензирование следующих видов деятельности: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br/>
              <w:t>1.Устройство (кладка, монтаж), ремонт, облицовка, теплоизоляция и очистка печей, каминов, других теплогенерирующих установок и дымоходов.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br/>
              <w:t>2.Выполнение работ по огнезащите материалов, изделий и конструкций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br/>
            </w:r>
          </w:p>
        </w:tc>
      </w:tr>
      <w:tr w:rsidR="008E7721" w:rsidRPr="00816270" w:rsidTr="00641A6B">
        <w:tc>
          <w:tcPr>
            <w:tcW w:w="356" w:type="dxa"/>
            <w:tcBorders>
              <w:bottom w:val="single" w:sz="4" w:space="0" w:color="auto"/>
            </w:tcBorders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8E7721" w:rsidRPr="00816270" w:rsidRDefault="008E7721" w:rsidP="00D470A8">
            <w:pPr>
              <w:spacing w:line="240" w:lineRule="auto"/>
              <w:ind w:left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Требования к передаче Заказчику технических и иных документов по завершению и сдаче работ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0" w:type="dxa"/>
            <w:tcBorders>
              <w:bottom w:val="single" w:sz="4" w:space="0" w:color="auto"/>
            </w:tcBorders>
          </w:tcPr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полный комплект исполнительной документации на комплекс выполненных ремонтных работ в соответствии с РД-01-02- 2006 в т.ч.  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-Разработать и согласовать с Заказчиком ППР с приложением технологических       карт   по видам работ 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-Общий журнал работ в 1 экземпляре, заполненный в соответствии требованиями РД-11-05-2007 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 Журнал входного контроля материалов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Журналы специальных работ            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-Акты скрытых работ в 3 экз. на выполняемые виды работ с приложением материалов фотофиксации скрываемых элементов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-Паспорта, сертификаты соответствия, разрешения на применение на материалы, используемые при производстве работ (в соответствии с «Журналом входного контроля материалов»)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-Исполнительные схемы на выполненные работы в 3 экз.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-Акт о соответствии выполненных работ действующим строительным регламентам.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-Справку о размещении строительных отходов по категории опасности</w:t>
            </w:r>
          </w:p>
          <w:p w:rsidR="008E7721" w:rsidRPr="00816270" w:rsidRDefault="008E7721" w:rsidP="00BA2DEF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-другие нормативные исполнительные документы в соответствии с требованиями действующего законодательства</w:t>
            </w:r>
          </w:p>
        </w:tc>
      </w:tr>
      <w:tr w:rsidR="008E7721" w:rsidRPr="00816270" w:rsidTr="00641A6B">
        <w:tc>
          <w:tcPr>
            <w:tcW w:w="356" w:type="dxa"/>
            <w:tcBorders>
              <w:top w:val="nil"/>
            </w:tcBorders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0" w:type="dxa"/>
            <w:tcBorders>
              <w:top w:val="nil"/>
            </w:tcBorders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применяемых материалов при выполнении работ и оказании сопутствующих услуг, поставкам необходимых товаров, в т.ч. оборудования.</w:t>
            </w:r>
          </w:p>
        </w:tc>
        <w:tc>
          <w:tcPr>
            <w:tcW w:w="7140" w:type="dxa"/>
            <w:tcBorders>
              <w:top w:val="nil"/>
            </w:tcBorders>
          </w:tcPr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-Сталь листовая кровельная ГОСТ 14918-80 / ГОСТ 52246-04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Асбестоцементные </w:t>
            </w:r>
            <w:r w:rsidRPr="00816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волнистые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листы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816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ГОСТ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30340-95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Битумные кровельные волнистые листы по </w:t>
            </w:r>
            <w:r w:rsidRPr="00816270">
              <w:rPr>
                <w:rFonts w:ascii="Times New Roman" w:hAnsi="Times New Roman" w:cs="Times New Roman"/>
                <w:b/>
                <w:sz w:val="28"/>
                <w:szCs w:val="28"/>
              </w:rPr>
              <w:t>ТУ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производителя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-Материалы кровельные рулонные ГОСТ30547-97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-  Металлочерепица (профлист)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толщ, не менее 0,5мм выполненная из проката тонколистового холоднокатаного горячеопинкованного с декоративно-защитным покрытием по ГОСТ Р 52146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-Фасонные, стыковочные элементы, снегозадержатели, водостоки и другие элементы кровли толщ, не менее 0,5мм выполненные из проката тонколистового холоднокатаного горячеоцинкованного с декоративно-защитным покрытием по ГОСТ Р 52146 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-Фасонные элементы водосточной системы выполненные из проката тонколистового холоднокатаного горячеоцинков</w:t>
            </w:r>
            <w:r w:rsidR="00BA2DEF" w:rsidRPr="00816270">
              <w:rPr>
                <w:rFonts w:ascii="Times New Roman" w:hAnsi="Times New Roman" w:cs="Times New Roman"/>
                <w:sz w:val="28"/>
                <w:szCs w:val="28"/>
              </w:rPr>
              <w:t>анного ГОСТ Р 52246-2004 (в том числе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Антивандальный комплект из усиленных отлива и прямого звена водосточной грубы толщ, не менее 0,8 мм)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-Антипирен-антисептик для обработки древесины- обеспечивает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первую и вторую группу огнезащитной эффективности (по НПБ 251)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-Пиломатериалы ГОСТ 24454-80, ГОСТ 8486-86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-Ветрозащита и пароизоляция – ГОСТ30547-97.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-Грунтовка проникающая ГОСТ 28196-89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-Матер</w:t>
            </w:r>
            <w:r w:rsidR="002F333B" w:rsidRPr="0081627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алы лакокрасочные ГОСТ 52491-2005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-Герметик - двухкомпонентный полиуретановый ГОСТ 25621-83 -Краска ВА поливинилацетатная ГОСТ 28196-89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 Органосиликатная композиция ТУ84-725-78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-Пенопласт ПСБ-С (Пенополистирол суспензионный беспрессовый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самозатухающий) по ГОСТ 15588-86                                                       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 - Вата минеральная ГОСТ4640-93                                                             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   - Плиты минераловатные ГОСТ 22950-95                                               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   - Керамзитовый гравий ГОСТ 9757-90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 Кирпич шамотный ГОСТ 390-96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-Кирпич  ГОСТ 530-2012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Мастики кровельные и гидроизоляционные ГОСТ26589-94               </w:t>
            </w:r>
          </w:p>
          <w:p w:rsidR="008E7721" w:rsidRPr="00816270" w:rsidRDefault="008E7721" w:rsidP="00D470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r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</w:t>
            </w:r>
            <w:r w:rsidR="0084717C"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алы рулонные кровельные и гидроизоляционные ГОСТ 30547-97*     Методы испытаний  ГОСТ-2678-94       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iCs/>
                <w:sz w:val="28"/>
                <w:szCs w:val="28"/>
              </w:rPr>
              <w:t>- Технические характеристики рулонного наплавляемого кровельного материала принимаются согласно ГОСТ 30547-97*</w:t>
            </w:r>
          </w:p>
          <w:tbl>
            <w:tblPr>
              <w:tblW w:w="9389" w:type="dxa"/>
              <w:tblLayout w:type="fixed"/>
              <w:tblLook w:val="00A0" w:firstRow="1" w:lastRow="0" w:firstColumn="1" w:lastColumn="0" w:noHBand="0" w:noVBand="0"/>
            </w:tblPr>
            <w:tblGrid>
              <w:gridCol w:w="2774"/>
              <w:gridCol w:w="1843"/>
              <w:gridCol w:w="3303"/>
              <w:gridCol w:w="1469"/>
            </w:tblGrid>
            <w:tr w:rsidR="008E7721" w:rsidRPr="00816270" w:rsidTr="002F333B">
              <w:tc>
                <w:tcPr>
                  <w:tcW w:w="4617" w:type="dxa"/>
                  <w:gridSpan w:val="2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Показатель</w:t>
                  </w:r>
                </w:p>
              </w:tc>
              <w:tc>
                <w:tcPr>
                  <w:tcW w:w="47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Значение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16270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К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  <w:lang w:eastAsia="ar-SA"/>
                    </w:rPr>
                    <w:t>П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1 м2 материала, кг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4,7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3,6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Толщина, мм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3,8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2,9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Гибкость на брусе </w:t>
                  </w: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ar-SA"/>
                    </w:rPr>
                    <w:t>R</w:t>
                  </w: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=10 мм, °С, не выше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-20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Теплостойкость в течение 2 часов, °С, не ниже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95</w:t>
                  </w:r>
                </w:p>
              </w:tc>
            </w:tr>
            <w:tr w:rsidR="008E7721" w:rsidRPr="00816270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Разрывная сила при растяжении в продольном/поперечном направлении, Н, не менее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полиэфире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500/350</w:t>
                  </w:r>
                </w:p>
              </w:tc>
            </w:tr>
            <w:tr w:rsidR="008E7721" w:rsidRPr="00816270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16270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стеклоткани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800/900</w:t>
                  </w:r>
                </w:p>
              </w:tc>
            </w:tr>
            <w:tr w:rsidR="008E7721" w:rsidRPr="00816270" w:rsidTr="002F333B"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16270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на стеклохолсте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294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Масса вяжущего с наплавляемой стороны, кг/м2, не менее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3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2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Температура хрупкости вяжущего, °С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-30</w:t>
                  </w:r>
                </w:p>
              </w:tc>
            </w:tr>
            <w:tr w:rsidR="008E7721" w:rsidRPr="00816270" w:rsidTr="002F333B">
              <w:tc>
                <w:tcPr>
                  <w:tcW w:w="46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Потеря посыпки, г/образец, не более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1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</w:p>
              </w:tc>
            </w:tr>
            <w:tr w:rsidR="008E7721" w:rsidRPr="00816270" w:rsidTr="002F333B">
              <w:tc>
                <w:tcPr>
                  <w:tcW w:w="27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Тип покрытия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верх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крупнозернистая посыпка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пленка, песок</w:t>
                  </w:r>
                </w:p>
              </w:tc>
            </w:tr>
            <w:tr w:rsidR="008E7721" w:rsidRPr="00816270" w:rsidTr="002F333B">
              <w:trPr>
                <w:trHeight w:val="525"/>
              </w:trPr>
              <w:tc>
                <w:tcPr>
                  <w:tcW w:w="27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8E7721" w:rsidRPr="00816270" w:rsidRDefault="008E7721" w:rsidP="00D470A8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низ</w:t>
                  </w:r>
                </w:p>
              </w:tc>
              <w:tc>
                <w:tcPr>
                  <w:tcW w:w="33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  <w:tc>
                <w:tcPr>
                  <w:tcW w:w="1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E7721" w:rsidRPr="00816270" w:rsidRDefault="008E7721" w:rsidP="00D470A8">
                  <w:pPr>
                    <w:suppressLineNumbers/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816270">
                    <w:rPr>
                      <w:rFonts w:ascii="Times New Roman" w:hAnsi="Times New Roman" w:cs="Times New Roman"/>
                      <w:sz w:val="28"/>
                      <w:szCs w:val="28"/>
                      <w:lang w:eastAsia="ar-SA"/>
                    </w:rPr>
                    <w:t>пленка</w:t>
                  </w:r>
                </w:p>
              </w:tc>
            </w:tr>
          </w:tbl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>Участник размещения заказа в процессе выполнения работ может использовать по письменному согласованию с Заказчиком аналогичные материалы, которые соответствуют или превосходят по своим техническим характеристикам материалы, указанные в смете Заказчика</w:t>
            </w:r>
          </w:p>
        </w:tc>
      </w:tr>
      <w:tr w:rsidR="008E7721" w:rsidRPr="00816270" w:rsidTr="00641A6B">
        <w:tc>
          <w:tcPr>
            <w:tcW w:w="356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Требования к техническим характеристикам работ</w:t>
            </w:r>
          </w:p>
        </w:tc>
        <w:tc>
          <w:tcPr>
            <w:tcW w:w="7140" w:type="dxa"/>
          </w:tcPr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Подрядчик обязан соблюдать требования:</w:t>
            </w:r>
          </w:p>
          <w:p w:rsidR="008E7721" w:rsidRPr="00816270" w:rsidRDefault="008E7721" w:rsidP="00D470A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СНиП 3.01.01-85* «Организация строительного производства» </w:t>
            </w:r>
            <w:r w:rsidRPr="00816270">
              <w:rPr>
                <w:rFonts w:ascii="Times New Roman" w:hAnsi="Times New Roman" w:cs="Times New Roman"/>
                <w:bCs/>
                <w:sz w:val="28"/>
                <w:szCs w:val="28"/>
              </w:rPr>
              <w:t>г. Москва, утвержденным постановлением Госстроя СССР от 11 декабря 1986 г. № 48.</w:t>
            </w:r>
          </w:p>
          <w:p w:rsidR="008E7721" w:rsidRPr="00816270" w:rsidRDefault="008E7721" w:rsidP="00D470A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162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ПУЭ, утвержденных приказом Минэнерго России от 08.07.2002 № 204.</w:t>
            </w:r>
          </w:p>
          <w:p w:rsidR="008E7721" w:rsidRPr="00816270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>-  СНиП 21-01-97 «Пожарная безопасность зданий и сооружений» утв. Госстрой России от 3 июня 1999г., стандартов, технических условий и инструкций заводов- изготовителей оборудования.</w:t>
            </w:r>
          </w:p>
          <w:p w:rsidR="008E7721" w:rsidRPr="00816270" w:rsidRDefault="008E7721" w:rsidP="00D470A8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- другие нормативные документы, действующие </w:t>
            </w:r>
            <w:r w:rsidRPr="008162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81627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Российской Федерации. </w:t>
            </w:r>
          </w:p>
          <w:p w:rsidR="008E7721" w:rsidRPr="00816270" w:rsidRDefault="008E7721" w:rsidP="00D470A8">
            <w:pPr>
              <w:tabs>
                <w:tab w:val="left" w:pos="0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8E7721" w:rsidRPr="00816270" w:rsidRDefault="008E7721" w:rsidP="008E772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5864" w:rsidRPr="00816270" w:rsidRDefault="00A15864" w:rsidP="00235C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70">
        <w:rPr>
          <w:rFonts w:ascii="Times New Roman" w:hAnsi="Times New Roman" w:cs="Times New Roman"/>
          <w:b/>
          <w:sz w:val="28"/>
          <w:szCs w:val="28"/>
        </w:rPr>
        <w:t>Раздел 3. Перечень приложений к техническому заданию, являющихся его неотъемлемой частью</w:t>
      </w:r>
    </w:p>
    <w:p w:rsidR="00D049ED" w:rsidRPr="00816270" w:rsidRDefault="002F333B" w:rsidP="00D049ED">
      <w:pPr>
        <w:autoSpaceDE w:val="0"/>
        <w:autoSpaceDN w:val="0"/>
        <w:adjustRightInd w:val="0"/>
        <w:spacing w:before="51" w:line="304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6270">
        <w:rPr>
          <w:rFonts w:ascii="Times New Roman" w:hAnsi="Times New Roman" w:cs="Times New Roman"/>
          <w:sz w:val="28"/>
          <w:szCs w:val="28"/>
        </w:rPr>
        <w:t>Дефектн</w:t>
      </w:r>
      <w:r w:rsidR="00BA2DEF" w:rsidRPr="00816270">
        <w:rPr>
          <w:rFonts w:ascii="Times New Roman" w:hAnsi="Times New Roman" w:cs="Times New Roman"/>
          <w:sz w:val="28"/>
          <w:szCs w:val="28"/>
        </w:rPr>
        <w:t>ые</w:t>
      </w:r>
      <w:r w:rsidRPr="00816270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BA2DEF" w:rsidRPr="00816270">
        <w:rPr>
          <w:rFonts w:ascii="Times New Roman" w:hAnsi="Times New Roman" w:cs="Times New Roman"/>
          <w:sz w:val="28"/>
          <w:szCs w:val="28"/>
        </w:rPr>
        <w:t>и</w:t>
      </w:r>
      <w:r w:rsidRPr="00816270">
        <w:rPr>
          <w:rFonts w:ascii="Times New Roman" w:hAnsi="Times New Roman" w:cs="Times New Roman"/>
          <w:sz w:val="28"/>
          <w:szCs w:val="28"/>
        </w:rPr>
        <w:t xml:space="preserve"> и смет</w:t>
      </w:r>
      <w:r w:rsidR="00BA2DEF" w:rsidRPr="00816270">
        <w:rPr>
          <w:rFonts w:ascii="Times New Roman" w:hAnsi="Times New Roman" w:cs="Times New Roman"/>
          <w:sz w:val="28"/>
          <w:szCs w:val="28"/>
        </w:rPr>
        <w:t>ы</w:t>
      </w:r>
      <w:r w:rsidRPr="00816270">
        <w:rPr>
          <w:rFonts w:ascii="Times New Roman" w:hAnsi="Times New Roman" w:cs="Times New Roman"/>
          <w:sz w:val="28"/>
          <w:szCs w:val="28"/>
        </w:rPr>
        <w:t xml:space="preserve"> по лот</w:t>
      </w:r>
      <w:r w:rsidR="00662A8B" w:rsidRPr="00816270">
        <w:rPr>
          <w:rFonts w:ascii="Times New Roman" w:hAnsi="Times New Roman" w:cs="Times New Roman"/>
          <w:sz w:val="28"/>
          <w:szCs w:val="28"/>
        </w:rPr>
        <w:t>ам</w:t>
      </w:r>
      <w:r w:rsidR="00D049ED" w:rsidRPr="00816270">
        <w:rPr>
          <w:rFonts w:ascii="Times New Roman" w:hAnsi="Times New Roman" w:cs="Times New Roman"/>
          <w:sz w:val="28"/>
          <w:szCs w:val="28"/>
        </w:rPr>
        <w:t>:</w:t>
      </w:r>
      <w:r w:rsidRPr="00816270">
        <w:rPr>
          <w:rFonts w:ascii="Times New Roman" w:hAnsi="Times New Roman" w:cs="Times New Roman"/>
          <w:sz w:val="28"/>
          <w:szCs w:val="28"/>
        </w:rPr>
        <w:t xml:space="preserve"> </w:t>
      </w:r>
      <w:r w:rsidR="00816270" w:rsidRPr="00816270">
        <w:rPr>
          <w:rFonts w:ascii="Times New Roman" w:hAnsi="Times New Roman" w:cs="Times New Roman"/>
          <w:sz w:val="28"/>
          <w:szCs w:val="28"/>
        </w:rPr>
        <w:t>114</w:t>
      </w:r>
      <w:r w:rsidR="00FF4C28" w:rsidRPr="00816270">
        <w:rPr>
          <w:rFonts w:ascii="Times New Roman" w:hAnsi="Times New Roman" w:cs="Times New Roman"/>
          <w:color w:val="000000"/>
          <w:sz w:val="28"/>
          <w:szCs w:val="28"/>
        </w:rPr>
        <w:t>/2016</w:t>
      </w:r>
      <w:r w:rsidR="00835089" w:rsidRPr="0081627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30C4E" w:rsidRPr="0081627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16270" w:rsidRPr="0081627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D320D3" w:rsidRPr="00816270">
        <w:rPr>
          <w:rFonts w:ascii="Times New Roman" w:hAnsi="Times New Roman" w:cs="Times New Roman"/>
          <w:color w:val="000000"/>
          <w:sz w:val="28"/>
          <w:szCs w:val="28"/>
        </w:rPr>
        <w:t>/2016, 1</w:t>
      </w:r>
      <w:r w:rsidR="00816270" w:rsidRPr="00816270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D320D3" w:rsidRPr="00816270">
        <w:rPr>
          <w:rFonts w:ascii="Times New Roman" w:hAnsi="Times New Roman" w:cs="Times New Roman"/>
          <w:color w:val="000000"/>
          <w:sz w:val="28"/>
          <w:szCs w:val="28"/>
        </w:rPr>
        <w:t>/2016.</w:t>
      </w:r>
    </w:p>
    <w:p w:rsidR="0096108F" w:rsidRPr="00816270" w:rsidRDefault="0096108F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75CEA" w:rsidRPr="00816270" w:rsidRDefault="00775CEA" w:rsidP="00FD6EB1">
      <w:pPr>
        <w:autoSpaceDE w:val="0"/>
        <w:autoSpaceDN w:val="0"/>
        <w:adjustRightInd w:val="0"/>
        <w:spacing w:line="297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75CEA" w:rsidRPr="00816270" w:rsidSect="0008274C">
      <w:headerReference w:type="even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00B" w:rsidRDefault="0018400B">
      <w:pPr>
        <w:spacing w:after="0" w:line="240" w:lineRule="auto"/>
      </w:pPr>
      <w:r>
        <w:separator/>
      </w:r>
    </w:p>
  </w:endnote>
  <w:endnote w:type="continuationSeparator" w:id="0">
    <w:p w:rsidR="0018400B" w:rsidRDefault="0018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E73B1">
      <w:rPr>
        <w:rStyle w:val="a5"/>
        <w:noProof/>
      </w:rPr>
      <w:t>1</w:t>
    </w:r>
    <w:r>
      <w:rPr>
        <w:rStyle w:val="a5"/>
      </w:rPr>
      <w:fldChar w:fldCharType="end"/>
    </w:r>
  </w:p>
  <w:p w:rsidR="00595F9C" w:rsidRDefault="00595F9C" w:rsidP="00253B6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00B" w:rsidRDefault="0018400B">
      <w:pPr>
        <w:spacing w:after="0" w:line="240" w:lineRule="auto"/>
      </w:pPr>
      <w:r>
        <w:separator/>
      </w:r>
    </w:p>
  </w:footnote>
  <w:footnote w:type="continuationSeparator" w:id="0">
    <w:p w:rsidR="0018400B" w:rsidRDefault="0018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F9C" w:rsidRDefault="00FE61EA" w:rsidP="00253B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95F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5F9C" w:rsidRDefault="00595F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16C041A"/>
    <w:lvl w:ilvl="0">
      <w:numFmt w:val="bullet"/>
      <w:lvlText w:val="*"/>
      <w:lvlJc w:val="left"/>
    </w:lvl>
  </w:abstractNum>
  <w:abstractNum w:abstractNumId="1" w15:restartNumberingAfterBreak="0">
    <w:nsid w:val="147637D5"/>
    <w:multiLevelType w:val="hybridMultilevel"/>
    <w:tmpl w:val="3D706D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D54"/>
    <w:multiLevelType w:val="hybridMultilevel"/>
    <w:tmpl w:val="C864233A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3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6AEA"/>
    <w:multiLevelType w:val="hybridMultilevel"/>
    <w:tmpl w:val="05B8A91C"/>
    <w:lvl w:ilvl="0" w:tplc="6D7C977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467E0444"/>
    <w:multiLevelType w:val="hybridMultilevel"/>
    <w:tmpl w:val="800234F2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6" w15:restartNumberingAfterBreak="0">
    <w:nsid w:val="52541855"/>
    <w:multiLevelType w:val="hybridMultilevel"/>
    <w:tmpl w:val="0B7852B0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7" w15:restartNumberingAfterBreak="0">
    <w:nsid w:val="5D12449E"/>
    <w:multiLevelType w:val="hybridMultilevel"/>
    <w:tmpl w:val="A97ED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 w15:restartNumberingAfterBreak="0">
    <w:nsid w:val="65B172BC"/>
    <w:multiLevelType w:val="hybridMultilevel"/>
    <w:tmpl w:val="89062670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9" w15:restartNumberingAfterBreak="0">
    <w:nsid w:val="7778025B"/>
    <w:multiLevelType w:val="hybridMultilevel"/>
    <w:tmpl w:val="195C63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7E26B48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1" w15:restartNumberingAfterBreak="0">
    <w:nsid w:val="7854796E"/>
    <w:multiLevelType w:val="hybridMultilevel"/>
    <w:tmpl w:val="0A944756"/>
    <w:lvl w:ilvl="0" w:tplc="5A26C50A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abstractNum w:abstractNumId="12" w15:restartNumberingAfterBreak="0">
    <w:nsid w:val="7C2D1F74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56926"/>
    <w:multiLevelType w:val="hybridMultilevel"/>
    <w:tmpl w:val="A0A6AA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1470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6"/>
  </w:num>
  <w:num w:numId="11">
    <w:abstractNumId w:val="10"/>
  </w:num>
  <w:num w:numId="12">
    <w:abstractNumId w:val="8"/>
  </w:num>
  <w:num w:numId="13">
    <w:abstractNumId w:val="2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5864"/>
    <w:rsid w:val="00027B57"/>
    <w:rsid w:val="00040176"/>
    <w:rsid w:val="0004117B"/>
    <w:rsid w:val="00046570"/>
    <w:rsid w:val="0008274C"/>
    <w:rsid w:val="000A3020"/>
    <w:rsid w:val="000A44A7"/>
    <w:rsid w:val="000C7F40"/>
    <w:rsid w:val="000D1DDE"/>
    <w:rsid w:val="000D21A9"/>
    <w:rsid w:val="000F565E"/>
    <w:rsid w:val="001376D1"/>
    <w:rsid w:val="00170532"/>
    <w:rsid w:val="001752D5"/>
    <w:rsid w:val="0018400B"/>
    <w:rsid w:val="00187B31"/>
    <w:rsid w:val="00191257"/>
    <w:rsid w:val="001B6CB4"/>
    <w:rsid w:val="001C258C"/>
    <w:rsid w:val="001C34A4"/>
    <w:rsid w:val="001D3C08"/>
    <w:rsid w:val="001D52B5"/>
    <w:rsid w:val="001F6524"/>
    <w:rsid w:val="00217421"/>
    <w:rsid w:val="00235C30"/>
    <w:rsid w:val="00250DE8"/>
    <w:rsid w:val="00251E47"/>
    <w:rsid w:val="00253B61"/>
    <w:rsid w:val="00270459"/>
    <w:rsid w:val="00275B07"/>
    <w:rsid w:val="00290637"/>
    <w:rsid w:val="002E2CA3"/>
    <w:rsid w:val="002F1321"/>
    <w:rsid w:val="002F333B"/>
    <w:rsid w:val="003327DF"/>
    <w:rsid w:val="003710F1"/>
    <w:rsid w:val="003B4898"/>
    <w:rsid w:val="003E68BF"/>
    <w:rsid w:val="00416000"/>
    <w:rsid w:val="00422DC0"/>
    <w:rsid w:val="00495230"/>
    <w:rsid w:val="004B7187"/>
    <w:rsid w:val="004D657F"/>
    <w:rsid w:val="0051654C"/>
    <w:rsid w:val="005207C4"/>
    <w:rsid w:val="00536EB9"/>
    <w:rsid w:val="00545D7F"/>
    <w:rsid w:val="00551D82"/>
    <w:rsid w:val="005625E7"/>
    <w:rsid w:val="00595F9C"/>
    <w:rsid w:val="005A08F3"/>
    <w:rsid w:val="005A2722"/>
    <w:rsid w:val="005D170B"/>
    <w:rsid w:val="00604C72"/>
    <w:rsid w:val="00633F74"/>
    <w:rsid w:val="00641A6B"/>
    <w:rsid w:val="00656DB9"/>
    <w:rsid w:val="00662A8B"/>
    <w:rsid w:val="00663457"/>
    <w:rsid w:val="006848E0"/>
    <w:rsid w:val="00687CD6"/>
    <w:rsid w:val="006A08E7"/>
    <w:rsid w:val="006A7EE6"/>
    <w:rsid w:val="006B2EFE"/>
    <w:rsid w:val="00742EFD"/>
    <w:rsid w:val="007646E4"/>
    <w:rsid w:val="00765235"/>
    <w:rsid w:val="00775CEA"/>
    <w:rsid w:val="00775D30"/>
    <w:rsid w:val="007813CA"/>
    <w:rsid w:val="0079562A"/>
    <w:rsid w:val="007A616D"/>
    <w:rsid w:val="007D71CD"/>
    <w:rsid w:val="007E7B16"/>
    <w:rsid w:val="00810148"/>
    <w:rsid w:val="00816270"/>
    <w:rsid w:val="0082131F"/>
    <w:rsid w:val="00835089"/>
    <w:rsid w:val="0084717C"/>
    <w:rsid w:val="00875AA4"/>
    <w:rsid w:val="00876F95"/>
    <w:rsid w:val="00883432"/>
    <w:rsid w:val="008C3647"/>
    <w:rsid w:val="008E2F29"/>
    <w:rsid w:val="008E61BC"/>
    <w:rsid w:val="008E7721"/>
    <w:rsid w:val="008F7671"/>
    <w:rsid w:val="008F79AD"/>
    <w:rsid w:val="00917499"/>
    <w:rsid w:val="009222D8"/>
    <w:rsid w:val="009445C8"/>
    <w:rsid w:val="00953600"/>
    <w:rsid w:val="009605C0"/>
    <w:rsid w:val="0096108F"/>
    <w:rsid w:val="00961996"/>
    <w:rsid w:val="009620BA"/>
    <w:rsid w:val="009677F0"/>
    <w:rsid w:val="0097540B"/>
    <w:rsid w:val="00975E76"/>
    <w:rsid w:val="00996502"/>
    <w:rsid w:val="009B5D81"/>
    <w:rsid w:val="009D609A"/>
    <w:rsid w:val="009E54A6"/>
    <w:rsid w:val="00A15864"/>
    <w:rsid w:val="00A26812"/>
    <w:rsid w:val="00A42BB2"/>
    <w:rsid w:val="00A45030"/>
    <w:rsid w:val="00A67223"/>
    <w:rsid w:val="00A74FEA"/>
    <w:rsid w:val="00A77C1D"/>
    <w:rsid w:val="00AA03DF"/>
    <w:rsid w:val="00AB0B32"/>
    <w:rsid w:val="00AD7FDF"/>
    <w:rsid w:val="00AE58C0"/>
    <w:rsid w:val="00AE73B1"/>
    <w:rsid w:val="00AF5F7D"/>
    <w:rsid w:val="00B12A95"/>
    <w:rsid w:val="00B23E02"/>
    <w:rsid w:val="00B24B91"/>
    <w:rsid w:val="00B55929"/>
    <w:rsid w:val="00B9469E"/>
    <w:rsid w:val="00BA2DEF"/>
    <w:rsid w:val="00BD0B00"/>
    <w:rsid w:val="00BD5009"/>
    <w:rsid w:val="00BE73B8"/>
    <w:rsid w:val="00BF0615"/>
    <w:rsid w:val="00C01004"/>
    <w:rsid w:val="00C03EDB"/>
    <w:rsid w:val="00C10563"/>
    <w:rsid w:val="00C204AF"/>
    <w:rsid w:val="00C30C4E"/>
    <w:rsid w:val="00C46E3D"/>
    <w:rsid w:val="00C5404E"/>
    <w:rsid w:val="00C91A9D"/>
    <w:rsid w:val="00CA1F18"/>
    <w:rsid w:val="00CB1341"/>
    <w:rsid w:val="00CC3A9D"/>
    <w:rsid w:val="00D049ED"/>
    <w:rsid w:val="00D150C8"/>
    <w:rsid w:val="00D176BA"/>
    <w:rsid w:val="00D320D3"/>
    <w:rsid w:val="00D34301"/>
    <w:rsid w:val="00DA7DDA"/>
    <w:rsid w:val="00DE3158"/>
    <w:rsid w:val="00DF4D89"/>
    <w:rsid w:val="00DF5F88"/>
    <w:rsid w:val="00E05C23"/>
    <w:rsid w:val="00E17843"/>
    <w:rsid w:val="00E22B82"/>
    <w:rsid w:val="00E554C6"/>
    <w:rsid w:val="00E7763C"/>
    <w:rsid w:val="00E85F12"/>
    <w:rsid w:val="00E877C8"/>
    <w:rsid w:val="00EA7B78"/>
    <w:rsid w:val="00ED6161"/>
    <w:rsid w:val="00EE26F0"/>
    <w:rsid w:val="00F20FB2"/>
    <w:rsid w:val="00F2157F"/>
    <w:rsid w:val="00F30D6D"/>
    <w:rsid w:val="00F61957"/>
    <w:rsid w:val="00F631C9"/>
    <w:rsid w:val="00F658CE"/>
    <w:rsid w:val="00F70C6C"/>
    <w:rsid w:val="00F84F5A"/>
    <w:rsid w:val="00FC7DEC"/>
    <w:rsid w:val="00FD6EB1"/>
    <w:rsid w:val="00FE61EA"/>
    <w:rsid w:val="00FF4C28"/>
    <w:rsid w:val="00FF7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9774-1CA5-4818-A299-85B8B1A8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74C"/>
  </w:style>
  <w:style w:type="paragraph" w:styleId="1">
    <w:name w:val="heading 1"/>
    <w:basedOn w:val="a"/>
    <w:next w:val="a"/>
    <w:link w:val="10"/>
    <w:qFormat/>
    <w:rsid w:val="00A1586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64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A15864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15864"/>
  </w:style>
  <w:style w:type="paragraph" w:styleId="a6">
    <w:name w:val="footer"/>
    <w:basedOn w:val="a"/>
    <w:link w:val="a7"/>
    <w:uiPriority w:val="99"/>
    <w:rsid w:val="00A158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A15864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A1586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A15864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No Spacing"/>
    <w:uiPriority w:val="1"/>
    <w:qFormat/>
    <w:rsid w:val="00A158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1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864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677F0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677F0"/>
    <w:pPr>
      <w:widowControl w:val="0"/>
      <w:autoSpaceDE w:val="0"/>
      <w:autoSpaceDN w:val="0"/>
      <w:adjustRightInd w:val="0"/>
      <w:spacing w:after="0" w:line="312" w:lineRule="exact"/>
      <w:ind w:firstLine="3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677F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5A2722"/>
    <w:pPr>
      <w:widowControl w:val="0"/>
      <w:autoSpaceDE w:val="0"/>
      <w:autoSpaceDN w:val="0"/>
      <w:adjustRightInd w:val="0"/>
      <w:spacing w:after="0" w:line="288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Содержимое таблицы"/>
    <w:basedOn w:val="a"/>
    <w:rsid w:val="00595F9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1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8346E-75AA-4010-B311-F7D9153E7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10</Pages>
  <Words>2593</Words>
  <Characters>14783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Кожевников</dc:creator>
  <cp:keywords/>
  <dc:description/>
  <cp:lastModifiedBy>Кожевников</cp:lastModifiedBy>
  <cp:revision>91</cp:revision>
  <cp:lastPrinted>2015-02-16T17:49:00Z</cp:lastPrinted>
  <dcterms:created xsi:type="dcterms:W3CDTF">2015-02-09T16:49:00Z</dcterms:created>
  <dcterms:modified xsi:type="dcterms:W3CDTF">2016-04-14T13:19:00Z</dcterms:modified>
</cp:coreProperties>
</file>